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35A2" w:rsidR="002C2E29" w:rsidP="00E635A2" w:rsidRDefault="004033D8" w14:paraId="7F6961A1" w14:textId="77777777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hint="cs" w:cs="David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 w:cs="David"/>
          <w:sz w:val="20"/>
          <w:szCs w:val="20"/>
          <w:rtl/>
        </w:rPr>
        <w:t>2195873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וחמש</w:t>
      </w:r>
      <w:bookmarkEnd w:id="1"/>
    </w:p>
    <w:p w:rsidRPr="00F67051" w:rsidR="00E13C27" w:rsidP="00E13C27" w:rsidRDefault="00E13C27" w14:paraId="7F6961A3" w14:textId="77777777">
      <w:pPr>
        <w:rPr>
          <w:rFonts w:cs="David"/>
          <w:b/>
          <w:bCs/>
          <w:sz w:val="26"/>
          <w:szCs w:val="26"/>
          <w:rtl/>
        </w:rPr>
      </w:pPr>
    </w:p>
    <w:p w:rsidR="00E13C27" w:rsidP="00930EFE" w:rsidRDefault="008F6665" w14:paraId="7F6961A6" w14:textId="77777777">
      <w:pPr>
        <w:pStyle w:val="David"/>
        <w:spacing w:line="360" w:lineRule="auto"/>
        <w:ind w:left="3544"/>
        <w:rPr>
          <w:b/>
          <w:bCs/>
          <w:rtl/>
        </w:rPr>
      </w:pPr>
      <w:bookmarkStart w:name="LGS_Initiators_List" w:id="2"/>
      <w:r>
        <w:rPr>
          <w:b/>
          <w:bCs/>
          <w:rtl/>
        </w:rPr>
        <w:t>יוזמים:      חברי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עאידה תומא סלימאן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איימן עודה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יוסף עטאונה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עופר כסיף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אחמד טיבי</w:t>
      </w:r>
      <w:bookmarkEnd w:id="3"/>
    </w:p>
    <w:p w:rsidRPr="00CF1AA2" w:rsidR="00E13C27" w:rsidP="0036422C" w:rsidRDefault="007D585A" w14:paraId="7F6961AA" w14:textId="39F9D96B">
      <w:pPr>
        <w:pStyle w:val="David"/>
        <w:spacing w:before="0" w:line="360" w:lineRule="auto"/>
        <w:ind w:left="3544"/>
        <w:rPr>
          <w:b/>
          <w:bCs/>
          <w:sz w:val="16"/>
          <w:szCs w:val="16"/>
          <w:rtl/>
        </w:rPr>
      </w:pPr>
      <w:bookmarkStart w:name="LGS_Join_List" w:id="4"/>
      <w:r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>
        <w:rPr>
          <w:rFonts w:hint="cs"/>
          <w:rtl/>
        </w:rPr>
        <w:t xml:space="preserve"> </w:t>
      </w:r>
      <w:bookmarkEnd w:id="5"/>
    </w:p>
    <w:p w:rsidRPr="00904591" w:rsidR="00904591" w:rsidP="0036422C" w:rsidRDefault="00266D86" w14:paraId="34DB4103" w14:textId="77777777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Pr="001B4815" w:rsidR="00E13C27" w:rsidP="001B4815" w:rsidRDefault="00904591" w14:paraId="7F6961AC" w14:textId="0654321E">
      <w:pPr>
        <w:pStyle w:val="David"/>
        <w:spacing w:before="0" w:line="240" w:lineRule="auto"/>
        <w:ind w:left="6424" w:firstLine="56"/>
        <w:rPr>
          <w:rFonts w:ascii="David" w:hAnsi="David"/>
          <w:rtl/>
        </w:rPr>
      </w:pPr>
      <w:bookmarkStart w:name="Private_Number" w:id="6"/>
      <w:r w:rsidRPr="001B4815">
        <w:rPr>
          <w:rFonts w:ascii="David" w:hAnsi="David"/>
          <w:rtl/>
        </w:rPr>
        <w:t>פ</w:t>
      </w:r>
      <w:r w:rsidR="001B4815">
        <w:rPr>
          <w:rFonts w:hint="cs" w:ascii="David" w:hAnsi="David"/>
          <w:rtl/>
        </w:rPr>
        <w:t>/</w:t>
      </w:r>
      <w:r w:rsidRPr="001B4815">
        <w:rPr>
          <w:rFonts w:ascii="David" w:hAnsi="David"/>
        </w:rPr>
        <w:t>361/25</w:t>
      </w:r>
      <w:bookmarkEnd w:id="6"/>
    </w:p>
    <w:p w:rsidR="008402C0" w:rsidP="008402C0" w:rsidRDefault="008402C0" w14:paraId="264144A3" w14:textId="77777777">
      <w:pPr>
        <w:pStyle w:val="HeadHatzaotHok"/>
        <w:rPr>
          <w:rtl/>
        </w:rPr>
      </w:pPr>
    </w:p>
    <w:p w:rsidR="00E734AF" w:rsidP="008402C0" w:rsidRDefault="00E734AF" w14:paraId="3206A2E8" w14:textId="3B9034AA">
      <w:pPr>
        <w:pStyle w:val="HeadHatzaotHok"/>
        <w:rPr>
          <w:rtl/>
        </w:rPr>
      </w:pPr>
      <w:r>
        <w:rPr>
          <w:rFonts w:hint="cs"/>
          <w:rtl/>
        </w:rPr>
        <w:t xml:space="preserve">הצעת חוק המשטרה (תיקון – התיישנות עבירות), </w:t>
      </w:r>
      <w:r w:rsidR="008402C0">
        <w:rPr>
          <w:rFonts w:hint="cs"/>
          <w:rtl/>
        </w:rPr>
        <w:t>ה</w:t>
      </w:r>
      <w:r>
        <w:rPr>
          <w:rFonts w:hint="cs"/>
          <w:rtl/>
        </w:rPr>
        <w:t>תשפ"ג</w:t>
      </w:r>
      <w:r>
        <w:rPr>
          <w:rtl/>
        </w:rPr>
        <w:t>–</w:t>
      </w:r>
      <w:r>
        <w:rPr>
          <w:rFonts w:hint="cs"/>
          <w:rtl/>
        </w:rPr>
        <w:t>2022</w:t>
      </w: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624"/>
        <w:gridCol w:w="6519"/>
      </w:tblGrid>
      <w:tr w:rsidR="00E734AF" w:rsidTr="00F22D0D" w14:paraId="5A9DF8B8" w14:textId="77777777">
        <w:trPr>
          <w:cantSplit/>
        </w:trPr>
        <w:tc>
          <w:tcPr>
            <w:tcW w:w="1871" w:type="dxa"/>
            <w:hideMark/>
          </w:tcPr>
          <w:p w:rsidR="00E734AF" w:rsidP="00F22D0D" w:rsidRDefault="00E734AF" w14:paraId="43A46B02" w14:textId="77777777">
            <w:pPr>
              <w:pStyle w:val="TableSideHeading"/>
            </w:pPr>
            <w:r>
              <w:rPr>
                <w:rtl/>
              </w:rPr>
              <w:t>תיקון סעיף 15</w:t>
            </w:r>
          </w:p>
        </w:tc>
        <w:tc>
          <w:tcPr>
            <w:tcW w:w="624" w:type="dxa"/>
            <w:hideMark/>
          </w:tcPr>
          <w:p w:rsidR="00E734AF" w:rsidP="00F22D0D" w:rsidRDefault="00E734AF" w14:paraId="15AA0592" w14:textId="77777777">
            <w:pPr>
              <w:pStyle w:val="TableText"/>
              <w:rPr>
                <w:rtl/>
              </w:rPr>
            </w:pPr>
            <w:r>
              <w:rPr>
                <w:rtl/>
              </w:rPr>
              <w:t>1.</w:t>
            </w:r>
          </w:p>
        </w:tc>
        <w:tc>
          <w:tcPr>
            <w:tcW w:w="7143" w:type="dxa"/>
            <w:gridSpan w:val="2"/>
            <w:hideMark/>
          </w:tcPr>
          <w:p w:rsidR="00E734AF" w:rsidP="00F22D0D" w:rsidRDefault="00E734AF" w14:paraId="36A45D59" w14:textId="77777777">
            <w:pPr>
              <w:pStyle w:val="TableBlock"/>
              <w:rPr>
                <w:rtl/>
              </w:rPr>
            </w:pPr>
            <w:r>
              <w:rPr>
                <w:rtl/>
              </w:rPr>
              <w:t>בחוק המשטרה, התשס"ו–2006</w:t>
            </w:r>
            <w:r w:rsidRPr="006567A1">
              <w:rPr>
                <w:rStyle w:val="a6"/>
                <w:rFonts w:ascii="David" w:hAnsi="David"/>
                <w:sz w:val="26"/>
                <w:rtl/>
              </w:rPr>
              <w:footnoteReference w:id="2"/>
            </w:r>
            <w:r>
              <w:rPr>
                <w:rtl/>
              </w:rPr>
              <w:t>, בסעיף 15 –</w:t>
            </w:r>
          </w:p>
        </w:tc>
      </w:tr>
      <w:tr w:rsidR="00E734AF" w:rsidTr="00F22D0D" w14:paraId="5E4B4346" w14:textId="77777777">
        <w:trPr>
          <w:cantSplit/>
        </w:trPr>
        <w:tc>
          <w:tcPr>
            <w:tcW w:w="1871" w:type="dxa"/>
          </w:tcPr>
          <w:p w:rsidR="00E734AF" w:rsidP="00F22D0D" w:rsidRDefault="00E734AF" w14:paraId="795B9F6E" w14:textId="77777777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</w:tcPr>
          <w:p w:rsidR="00E734AF" w:rsidP="00F22D0D" w:rsidRDefault="00E734AF" w14:paraId="4B003114" w14:textId="77777777">
            <w:pPr>
              <w:pStyle w:val="TableText"/>
              <w:rPr>
                <w:rtl/>
              </w:rPr>
            </w:pPr>
          </w:p>
        </w:tc>
        <w:tc>
          <w:tcPr>
            <w:tcW w:w="7143" w:type="dxa"/>
            <w:gridSpan w:val="2"/>
            <w:hideMark/>
          </w:tcPr>
          <w:p w:rsidR="00E734AF" w:rsidP="00F22D0D" w:rsidRDefault="00E734AF" w14:paraId="61679851" w14:textId="77777777">
            <w:pPr>
              <w:pStyle w:val="TableBlock"/>
              <w:rPr>
                <w:rtl/>
              </w:rPr>
            </w:pPr>
            <w:r>
              <w:rPr>
                <w:rtl/>
              </w:rPr>
              <w:t>(1)</w:t>
            </w:r>
            <w:r>
              <w:rPr>
                <w:rtl/>
              </w:rPr>
              <w:tab/>
              <w:t>אחרי סעיף קטן (א) יבוא:</w:t>
            </w:r>
          </w:p>
        </w:tc>
      </w:tr>
      <w:tr w:rsidR="00E734AF" w:rsidTr="00F22D0D" w14:paraId="3F05149D" w14:textId="77777777">
        <w:trPr>
          <w:cantSplit/>
        </w:trPr>
        <w:tc>
          <w:tcPr>
            <w:tcW w:w="1871" w:type="dxa"/>
          </w:tcPr>
          <w:p w:rsidR="00E734AF" w:rsidP="00F22D0D" w:rsidRDefault="00E734AF" w14:paraId="0860CB32" w14:textId="77777777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</w:tcPr>
          <w:p w:rsidR="00E734AF" w:rsidP="00F22D0D" w:rsidRDefault="00E734AF" w14:paraId="045FECD3" w14:textId="77777777">
            <w:pPr>
              <w:pStyle w:val="TableText"/>
            </w:pPr>
          </w:p>
        </w:tc>
        <w:tc>
          <w:tcPr>
            <w:tcW w:w="624" w:type="dxa"/>
          </w:tcPr>
          <w:p w:rsidR="00E734AF" w:rsidP="00F22D0D" w:rsidRDefault="00E734AF" w14:paraId="6F0CFBD8" w14:textId="77777777">
            <w:pPr>
              <w:pStyle w:val="TableText"/>
            </w:pPr>
          </w:p>
        </w:tc>
        <w:tc>
          <w:tcPr>
            <w:tcW w:w="6519" w:type="dxa"/>
            <w:hideMark/>
          </w:tcPr>
          <w:p w:rsidR="00E734AF" w:rsidP="00F22D0D" w:rsidRDefault="00E734AF" w14:paraId="60267937" w14:textId="77777777">
            <w:pPr>
              <w:pStyle w:val="TableBlock"/>
            </w:pPr>
            <w:r>
              <w:rPr>
                <w:rtl/>
              </w:rPr>
              <w:t xml:space="preserve">"(א1) </w:t>
            </w:r>
            <w:r>
              <w:rPr>
                <w:rtl/>
              </w:rPr>
              <w:tab/>
              <w:t>על אף האמור בסעיף קטן (א), תקופת ההתיישנות בעבירת הטרדה מינית תהיה שבע שנים.";</w:t>
            </w:r>
          </w:p>
        </w:tc>
      </w:tr>
      <w:tr w:rsidR="00E734AF" w:rsidTr="00F22D0D" w14:paraId="0033C286" w14:textId="77777777">
        <w:trPr>
          <w:cantSplit/>
        </w:trPr>
        <w:tc>
          <w:tcPr>
            <w:tcW w:w="1871" w:type="dxa"/>
          </w:tcPr>
          <w:p w:rsidR="00E734AF" w:rsidP="00F22D0D" w:rsidRDefault="00E734AF" w14:paraId="40F49883" w14:textId="77777777">
            <w:pPr>
              <w:pStyle w:val="TableSideHeading"/>
              <w:keepLines w:val="0"/>
              <w:rPr>
                <w:rtl/>
              </w:rPr>
            </w:pPr>
          </w:p>
        </w:tc>
        <w:tc>
          <w:tcPr>
            <w:tcW w:w="624" w:type="dxa"/>
          </w:tcPr>
          <w:p w:rsidR="00E734AF" w:rsidP="00F22D0D" w:rsidRDefault="00E734AF" w14:paraId="028BAC64" w14:textId="77777777">
            <w:pPr>
              <w:pStyle w:val="TableText"/>
              <w:rPr>
                <w:rtl/>
              </w:rPr>
            </w:pPr>
          </w:p>
        </w:tc>
        <w:tc>
          <w:tcPr>
            <w:tcW w:w="7143" w:type="dxa"/>
            <w:gridSpan w:val="2"/>
          </w:tcPr>
          <w:p w:rsidR="00E734AF" w:rsidP="00F22D0D" w:rsidRDefault="00E734AF" w14:paraId="436120CA" w14:textId="7777777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בסעיף קטן (ג), אחרי "בסעיף קטן (א)" יבוא "או (א1)";</w:t>
            </w:r>
          </w:p>
        </w:tc>
      </w:tr>
      <w:tr w:rsidR="00E734AF" w:rsidTr="00F22D0D" w14:paraId="127474F7" w14:textId="77777777">
        <w:trPr>
          <w:cantSplit/>
        </w:trPr>
        <w:tc>
          <w:tcPr>
            <w:tcW w:w="1871" w:type="dxa"/>
          </w:tcPr>
          <w:p w:rsidR="00E734AF" w:rsidP="00F22D0D" w:rsidRDefault="00E734AF" w14:paraId="5CBA50B1" w14:textId="77777777">
            <w:pPr>
              <w:pStyle w:val="TableSideHeading"/>
              <w:keepLines w:val="0"/>
              <w:rPr>
                <w:rtl/>
              </w:rPr>
            </w:pPr>
          </w:p>
        </w:tc>
        <w:tc>
          <w:tcPr>
            <w:tcW w:w="624" w:type="dxa"/>
          </w:tcPr>
          <w:p w:rsidR="00E734AF" w:rsidP="00F22D0D" w:rsidRDefault="00E734AF" w14:paraId="72B6711D" w14:textId="77777777">
            <w:pPr>
              <w:pStyle w:val="TableText"/>
              <w:rPr>
                <w:rtl/>
              </w:rPr>
            </w:pPr>
          </w:p>
        </w:tc>
        <w:tc>
          <w:tcPr>
            <w:tcW w:w="7143" w:type="dxa"/>
            <w:gridSpan w:val="2"/>
            <w:hideMark/>
          </w:tcPr>
          <w:p w:rsidR="00E734AF" w:rsidP="00F22D0D" w:rsidRDefault="00E734AF" w14:paraId="5C1E5374" w14:textId="77777777">
            <w:pPr>
              <w:pStyle w:val="TableBlock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>)</w:t>
            </w:r>
            <w:r>
              <w:rPr>
                <w:rtl/>
              </w:rPr>
              <w:tab/>
              <w:t>אחרי סעיף קטן (ג) יבוא:</w:t>
            </w:r>
          </w:p>
        </w:tc>
      </w:tr>
      <w:tr w:rsidR="00E734AF" w:rsidTr="00F22D0D" w14:paraId="4D44A4EC" w14:textId="77777777">
        <w:trPr>
          <w:cantSplit/>
        </w:trPr>
        <w:tc>
          <w:tcPr>
            <w:tcW w:w="1871" w:type="dxa"/>
          </w:tcPr>
          <w:p w:rsidR="00E734AF" w:rsidP="00F22D0D" w:rsidRDefault="00E734AF" w14:paraId="18B7E9D2" w14:textId="77777777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</w:tcPr>
          <w:p w:rsidR="00E734AF" w:rsidP="00F22D0D" w:rsidRDefault="00E734AF" w14:paraId="6291D8B5" w14:textId="77777777">
            <w:pPr>
              <w:pStyle w:val="TableText"/>
            </w:pPr>
          </w:p>
        </w:tc>
        <w:tc>
          <w:tcPr>
            <w:tcW w:w="624" w:type="dxa"/>
          </w:tcPr>
          <w:p w:rsidR="00E734AF" w:rsidP="00F22D0D" w:rsidRDefault="00E734AF" w14:paraId="1033732B" w14:textId="77777777">
            <w:pPr>
              <w:pStyle w:val="TableText"/>
            </w:pPr>
          </w:p>
        </w:tc>
        <w:tc>
          <w:tcPr>
            <w:tcW w:w="6519" w:type="dxa"/>
            <w:hideMark/>
          </w:tcPr>
          <w:p w:rsidR="00E734AF" w:rsidP="00F22D0D" w:rsidRDefault="00E734AF" w14:paraId="20D6032D" w14:textId="77777777">
            <w:pPr>
              <w:pStyle w:val="TableBlock"/>
            </w:pPr>
            <w:r>
              <w:rPr>
                <w:rtl/>
              </w:rPr>
              <w:t xml:space="preserve">"(ד) </w:t>
            </w:r>
            <w:r>
              <w:rPr>
                <w:rtl/>
              </w:rPr>
              <w:tab/>
              <w:t xml:space="preserve">על אף האמור בסעיף קטן (ג), בעבירת הטרדה מינית יופסקו ההליכים </w:t>
            </w:r>
            <w:r>
              <w:rPr>
                <w:rFonts w:hint="cs"/>
                <w:rtl/>
              </w:rPr>
              <w:t>בתום</w:t>
            </w:r>
            <w:r>
              <w:rPr>
                <w:rtl/>
              </w:rPr>
              <w:t xml:space="preserve"> שבע שנים</w:t>
            </w:r>
            <w:r>
              <w:rPr>
                <w:rFonts w:hint="cs"/>
                <w:rtl/>
              </w:rPr>
              <w:t xml:space="preserve"> מיום הגת כתב האישום או כתב התלונה, לפי העניין</w:t>
            </w:r>
            <w:r>
              <w:rPr>
                <w:rtl/>
              </w:rPr>
              <w:t>".</w:t>
            </w:r>
          </w:p>
        </w:tc>
      </w:tr>
    </w:tbl>
    <w:p w:rsidRPr="00B666D1" w:rsidR="00E734AF" w:rsidP="00E734AF" w:rsidRDefault="00E734AF" w14:paraId="5D77C7D3" w14:textId="77777777">
      <w:pPr>
        <w:pStyle w:val="HeadDivreiHesber"/>
        <w:rPr>
          <w:rtl/>
        </w:rPr>
      </w:pPr>
      <w:r w:rsidRPr="00B666D1">
        <w:rPr>
          <w:rFonts w:hint="eastAsia"/>
          <w:rtl/>
        </w:rPr>
        <w:t>דברי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הסבר</w:t>
      </w:r>
    </w:p>
    <w:p w:rsidRPr="00B666D1" w:rsidR="00E734AF" w:rsidP="008402C0" w:rsidRDefault="00E734AF" w14:paraId="5739DE8A" w14:textId="77777777">
      <w:pPr>
        <w:pStyle w:val="Hesber"/>
        <w:rPr>
          <w:rtl/>
        </w:rPr>
      </w:pPr>
      <w:r w:rsidRPr="00B666D1">
        <w:rPr>
          <w:rFonts w:hint="eastAsia"/>
          <w:rtl/>
        </w:rPr>
        <w:t>עבירה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היא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הפרה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כלל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החל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על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כל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האזרחים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ללא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הבדל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במעמדם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או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תפקידם</w:t>
      </w:r>
      <w:r w:rsidRPr="00B666D1">
        <w:rPr>
          <w:rtl/>
        </w:rPr>
        <w:t xml:space="preserve">, </w:t>
      </w:r>
      <w:r w:rsidRPr="00B666D1">
        <w:rPr>
          <w:rFonts w:hint="eastAsia"/>
          <w:rtl/>
        </w:rPr>
        <w:t>ויש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דרגות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וסוגים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עבירות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כך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שהעונש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שונה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מעבירה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לעבירה</w:t>
      </w:r>
      <w:r w:rsidRPr="00B666D1">
        <w:rPr>
          <w:rtl/>
        </w:rPr>
        <w:t>.</w:t>
      </w:r>
    </w:p>
    <w:p w:rsidRPr="00B666D1" w:rsidR="00E734AF" w:rsidP="00E734AF" w:rsidRDefault="00E734AF" w14:paraId="621B3BC2" w14:textId="77777777">
      <w:pPr>
        <w:pStyle w:val="Hesber"/>
        <w:rPr>
          <w:rtl/>
        </w:rPr>
      </w:pPr>
      <w:r w:rsidRPr="00B666D1">
        <w:rPr>
          <w:rFonts w:hint="eastAsia"/>
          <w:rtl/>
        </w:rPr>
        <w:t>יש</w:t>
      </w:r>
      <w:r w:rsidRPr="00B666D1">
        <w:rPr>
          <w:rtl/>
        </w:rPr>
        <w:t xml:space="preserve"> עבירות, בתוכן עבירת ההטרדה המינית, אשר ניתן להעמיד לדין בגינן שוטרים, הן לדין משמעתי לפי חוק המשטרה, </w:t>
      </w:r>
      <w:r w:rsidRPr="00B666D1">
        <w:rPr>
          <w:rFonts w:hint="eastAsia"/>
          <w:rtl/>
        </w:rPr>
        <w:t>התשס</w:t>
      </w:r>
      <w:r w:rsidRPr="00B666D1">
        <w:rPr>
          <w:rtl/>
        </w:rPr>
        <w:t>"ו</w:t>
      </w:r>
      <w:r w:rsidRPr="00B666D1">
        <w:rPr>
          <w:rFonts w:hint="eastAsia"/>
          <w:rtl/>
        </w:rPr>
        <w:t>–</w:t>
      </w:r>
      <w:r w:rsidRPr="00B666D1">
        <w:rPr>
          <w:rtl/>
        </w:rPr>
        <w:t xml:space="preserve">2006 (להלן – חוק המשטרה), והן לדין פלילי לפי חוק למניעת הטרדה מינית, </w:t>
      </w:r>
      <w:r w:rsidRPr="00B666D1">
        <w:rPr>
          <w:rFonts w:hint="eastAsia"/>
          <w:rtl/>
        </w:rPr>
        <w:t>התשנ</w:t>
      </w:r>
      <w:r w:rsidRPr="00B666D1">
        <w:rPr>
          <w:rtl/>
        </w:rPr>
        <w:t>"ח</w:t>
      </w:r>
      <w:r w:rsidRPr="00B666D1">
        <w:rPr>
          <w:rFonts w:hint="eastAsia"/>
          <w:rtl/>
        </w:rPr>
        <w:t>–</w:t>
      </w:r>
      <w:r w:rsidRPr="00B666D1">
        <w:rPr>
          <w:rtl/>
        </w:rPr>
        <w:t xml:space="preserve">1998.    </w:t>
      </w:r>
    </w:p>
    <w:p w:rsidRPr="00B666D1" w:rsidR="00E734AF" w:rsidP="00E734AF" w:rsidRDefault="00E734AF" w14:paraId="49D06355" w14:textId="77777777">
      <w:pPr>
        <w:pStyle w:val="Hesber"/>
        <w:rPr>
          <w:rtl/>
        </w:rPr>
      </w:pPr>
      <w:r w:rsidRPr="00B666D1">
        <w:rPr>
          <w:rFonts w:hint="eastAsia"/>
          <w:rtl/>
        </w:rPr>
        <w:t>לפי</w:t>
      </w:r>
      <w:r w:rsidRPr="00B666D1">
        <w:rPr>
          <w:rtl/>
        </w:rPr>
        <w:t xml:space="preserve"> חוק סדר הדין הפלילי [נוסח משולב], </w:t>
      </w:r>
      <w:r w:rsidRPr="00B666D1">
        <w:rPr>
          <w:rFonts w:hint="eastAsia"/>
          <w:rtl/>
        </w:rPr>
        <w:t>התשמ</w:t>
      </w:r>
      <w:r w:rsidRPr="00B666D1">
        <w:rPr>
          <w:rtl/>
        </w:rPr>
        <w:t>"ב</w:t>
      </w:r>
      <w:r w:rsidRPr="00B666D1">
        <w:rPr>
          <w:rFonts w:hint="eastAsia"/>
          <w:rtl/>
        </w:rPr>
        <w:t>–</w:t>
      </w:r>
      <w:r w:rsidRPr="00B666D1">
        <w:rPr>
          <w:rtl/>
        </w:rPr>
        <w:t xml:space="preserve">1982, תקופת ההתיישנות החלה על עבירת ההטרדה המינית היא 5 או 10 שנים, בהתאם לנסיבות העבירה. </w:t>
      </w:r>
    </w:p>
    <w:p w:rsidRPr="00B666D1" w:rsidR="00E734AF" w:rsidP="00E734AF" w:rsidRDefault="00E734AF" w14:paraId="5A7F9642" w14:textId="77777777">
      <w:pPr>
        <w:pStyle w:val="Hesber"/>
        <w:rPr>
          <w:rtl/>
        </w:rPr>
      </w:pPr>
      <w:r w:rsidRPr="00B666D1">
        <w:rPr>
          <w:rFonts w:hint="eastAsia"/>
          <w:rtl/>
        </w:rPr>
        <w:t>לעומת</w:t>
      </w:r>
      <w:r w:rsidRPr="00B666D1">
        <w:rPr>
          <w:rtl/>
        </w:rPr>
        <w:t xml:space="preserve"> זאת, קובע חוק המשטרה, לעניין העמדה לדין משמעתי, תקופת התיישנות של שלוש שנים אם </w:t>
      </w:r>
      <w:r w:rsidRPr="00B666D1">
        <w:rPr>
          <w:rtl/>
        </w:rPr>
        <w:lastRenderedPageBreak/>
        <w:t xml:space="preserve">עבירה נידונה בפני בית דין למשמעת, או שנה אם העבירה נידונה בפני דן יחיד. הסעיף מתייחס לכל סוגי עבירות המשמעת, לרבות הטרדה מינית. </w:t>
      </w:r>
    </w:p>
    <w:p w:rsidRPr="00B666D1" w:rsidR="00E734AF" w:rsidP="00E734AF" w:rsidRDefault="00E734AF" w14:paraId="6BB44EC5" w14:textId="77777777">
      <w:pPr>
        <w:pStyle w:val="Hesber"/>
        <w:rPr>
          <w:rtl/>
        </w:rPr>
      </w:pPr>
      <w:r w:rsidRPr="00B666D1">
        <w:rPr>
          <w:rFonts w:hint="eastAsia"/>
          <w:rtl/>
        </w:rPr>
        <w:t>לאור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הקשיים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שעוברות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נשים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המוטרדות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מינית</w:t>
      </w:r>
      <w:r w:rsidRPr="00B666D1">
        <w:rPr>
          <w:rtl/>
        </w:rPr>
        <w:t xml:space="preserve">, </w:t>
      </w:r>
      <w:r w:rsidRPr="00B666D1">
        <w:rPr>
          <w:rFonts w:hint="eastAsia"/>
          <w:rtl/>
        </w:rPr>
        <w:t>הן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מבחינת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הגשת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התלונה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והן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בשל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מצבן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הנפשי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לאחר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העבירה</w:t>
      </w:r>
      <w:r w:rsidRPr="00B666D1">
        <w:rPr>
          <w:rtl/>
        </w:rPr>
        <w:t xml:space="preserve">, </w:t>
      </w:r>
      <w:r w:rsidRPr="00B666D1">
        <w:rPr>
          <w:rFonts w:hint="eastAsia"/>
          <w:rtl/>
        </w:rPr>
        <w:t>מוצע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להאריך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את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התקופה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שבה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ניתן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להעמיד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שוטר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לדין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משמעתי</w:t>
      </w:r>
      <w:r w:rsidRPr="00B666D1">
        <w:rPr>
          <w:rtl/>
        </w:rPr>
        <w:t xml:space="preserve">, </w:t>
      </w:r>
      <w:r w:rsidRPr="00B666D1">
        <w:rPr>
          <w:rFonts w:hint="eastAsia"/>
          <w:rtl/>
        </w:rPr>
        <w:t>בעבירות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הטרדה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מינית</w:t>
      </w:r>
      <w:r w:rsidRPr="00B666D1">
        <w:rPr>
          <w:rtl/>
        </w:rPr>
        <w:t xml:space="preserve">, </w:t>
      </w:r>
      <w:r w:rsidRPr="00B666D1">
        <w:rPr>
          <w:rFonts w:hint="eastAsia"/>
          <w:rtl/>
        </w:rPr>
        <w:t>לשבע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שנים</w:t>
      </w:r>
      <w:r w:rsidRPr="00B666D1">
        <w:rPr>
          <w:rtl/>
        </w:rPr>
        <w:t>.</w:t>
      </w:r>
    </w:p>
    <w:p w:rsidR="00E734AF" w:rsidP="00E734AF" w:rsidRDefault="00E734AF" w14:paraId="06288031" w14:textId="12FF8EB4">
      <w:pPr>
        <w:pStyle w:val="Hesber"/>
        <w:rPr>
          <w:rtl/>
        </w:rPr>
      </w:pPr>
      <w:r w:rsidRPr="00B666D1">
        <w:rPr>
          <w:rFonts w:hint="eastAsia"/>
          <w:rtl/>
        </w:rPr>
        <w:t>הצע</w:t>
      </w:r>
      <w:r w:rsidR="008402C0">
        <w:rPr>
          <w:rFonts w:hint="cs"/>
          <w:rtl/>
        </w:rPr>
        <w:t>ו</w:t>
      </w:r>
      <w:r w:rsidRPr="00B666D1">
        <w:rPr>
          <w:rFonts w:hint="eastAsia"/>
          <w:rtl/>
        </w:rPr>
        <w:t>ת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חוק</w:t>
      </w:r>
      <w:r w:rsidRPr="00B666D1">
        <w:rPr>
          <w:rtl/>
        </w:rPr>
        <w:t xml:space="preserve"> </w:t>
      </w:r>
      <w:r w:rsidR="008402C0">
        <w:rPr>
          <w:rFonts w:hint="eastAsia"/>
          <w:rtl/>
        </w:rPr>
        <w:t>זה</w:t>
      </w:r>
      <w:r w:rsidR="008402C0">
        <w:rPr>
          <w:rFonts w:hint="cs"/>
          <w:rtl/>
        </w:rPr>
        <w:t>ות</w:t>
      </w:r>
      <w:r w:rsidR="008402C0">
        <w:rPr>
          <w:rtl/>
        </w:rPr>
        <w:t xml:space="preserve"> הונח</w:t>
      </w:r>
      <w:r w:rsidR="008402C0">
        <w:rPr>
          <w:rFonts w:hint="cs"/>
          <w:rtl/>
        </w:rPr>
        <w:t>ו</w:t>
      </w:r>
      <w:r w:rsidRPr="00B666D1">
        <w:rPr>
          <w:rtl/>
        </w:rPr>
        <w:t xml:space="preserve"> על שולחן הכנסת ה</w:t>
      </w:r>
      <w:r>
        <w:rPr>
          <w:rFonts w:hint="cs"/>
          <w:rtl/>
        </w:rPr>
        <w:t>עשרים</w:t>
      </w:r>
      <w:r w:rsidRPr="00B666D1">
        <w:rPr>
          <w:rtl/>
        </w:rPr>
        <w:t xml:space="preserve"> על ידי חברת הכנסת </w:t>
      </w:r>
      <w:r w:rsidRPr="00B666D1">
        <w:rPr>
          <w:rFonts w:hint="eastAsia"/>
          <w:rtl/>
        </w:rPr>
        <w:t>עאידה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תומא</w:t>
      </w:r>
      <w:r>
        <w:rPr>
          <w:rFonts w:hint="cs"/>
          <w:rtl/>
        </w:rPr>
        <w:t xml:space="preserve"> </w:t>
      </w:r>
      <w:r w:rsidRPr="00B666D1">
        <w:rPr>
          <w:rtl/>
        </w:rPr>
        <w:t>סלימאן</w:t>
      </w:r>
      <w:r>
        <w:rPr>
          <w:rFonts w:hint="cs"/>
          <w:rtl/>
        </w:rPr>
        <w:t xml:space="preserve"> (פ/3113/20) ועל שולחן הכנסת העשרים וארבע על ידי חברת הכנסת </w:t>
      </w:r>
      <w:r w:rsidRPr="00B666D1">
        <w:rPr>
          <w:rFonts w:hint="eastAsia"/>
          <w:rtl/>
        </w:rPr>
        <w:t>עאידה</w:t>
      </w:r>
      <w:r w:rsidRPr="00B666D1">
        <w:rPr>
          <w:rtl/>
        </w:rPr>
        <w:t xml:space="preserve"> </w:t>
      </w:r>
      <w:r w:rsidRPr="00B666D1">
        <w:rPr>
          <w:rFonts w:hint="eastAsia"/>
          <w:rtl/>
        </w:rPr>
        <w:t>תומא</w:t>
      </w:r>
      <w:r>
        <w:rPr>
          <w:rFonts w:hint="cs"/>
          <w:rtl/>
        </w:rPr>
        <w:t xml:space="preserve"> </w:t>
      </w:r>
      <w:r w:rsidRPr="00B666D1">
        <w:rPr>
          <w:rtl/>
        </w:rPr>
        <w:t>סלימאן</w:t>
      </w:r>
      <w:r>
        <w:rPr>
          <w:rFonts w:hint="cs"/>
          <w:rtl/>
        </w:rPr>
        <w:t xml:space="preserve"> וקבוצת חברי הכנסת (פ/3057/24)</w:t>
      </w:r>
      <w:r w:rsidRPr="00B666D1">
        <w:rPr>
          <w:rtl/>
        </w:rPr>
        <w:t>.</w:t>
      </w:r>
    </w:p>
    <w:p w:rsidR="00E734AF" w:rsidP="008402C0" w:rsidRDefault="00E734AF" w14:paraId="53C305AA" w14:textId="7F5DC99B">
      <w:pPr>
        <w:pStyle w:val="Hesber"/>
        <w:rPr>
          <w:rtl/>
        </w:rPr>
      </w:pPr>
      <w:r w:rsidRPr="00D303FF">
        <w:rPr>
          <w:rFonts w:hint="cs"/>
          <w:rtl/>
        </w:rPr>
        <w:t>הצעת החוק זהה לפ/3057/24 ולפיכך לא נבדקה מחדש על ידי הלשכה המשפטית של הכנסת.</w:t>
      </w:r>
    </w:p>
    <w:p w:rsidR="008402C0" w:rsidP="008402C0" w:rsidRDefault="008402C0" w14:paraId="4C0C4A13" w14:textId="232073E4">
      <w:pPr>
        <w:pStyle w:val="Hesber"/>
        <w:rPr>
          <w:rtl/>
        </w:rPr>
      </w:pPr>
    </w:p>
    <w:p w:rsidR="008402C0" w:rsidP="008402C0" w:rsidRDefault="008402C0" w14:paraId="2F0AC36D" w14:textId="2B356535">
      <w:pPr>
        <w:pStyle w:val="Hesber"/>
        <w:rPr>
          <w:rtl/>
        </w:rPr>
      </w:pPr>
    </w:p>
    <w:p w:rsidR="008402C0" w:rsidP="008402C0" w:rsidRDefault="008402C0" w14:paraId="3A7872E1" w14:textId="77777777">
      <w:pPr>
        <w:pStyle w:val="Hesber"/>
        <w:rPr>
          <w:rtl/>
        </w:rPr>
      </w:pPr>
      <w:bookmarkStart w:name="_GoBack" w:id="7"/>
      <w:bookmarkEnd w:id="7"/>
    </w:p>
    <w:p>
      <w:pPr>
        <w:jc w:val="left"/>
        <w:spacing w:before="0" w:after="0" w:line="276" w:lineRule="auto"/>
      </w:pPr>
      <w:bookmarkStart w:name="selectedDocDateB" w:id="9"/>
      <w:bookmarkEnd w:id="9"/>
      <w:r/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--------------------------------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הוגשה ליו"ר הכנסת והסגנים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והונחה על שולחן הכנסת ביום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 xml:space="preserve">כ"ה בכסלו התשפ"ג</w:t>
          <w:t xml:space="preserve"> (19.12.2022) </w:t>
        </w:r>
      </w:p>
    </w:p>
    <w:sectPr w:rsidR="008402C0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4306082F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8402C0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28067763" w14:textId="77777777" w:rsidR="00E734AF" w:rsidRDefault="00E734AF" w:rsidP="00E734AF">
      <w:pPr>
        <w:pStyle w:val="a4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התשס"ו, עמ' 180.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B4815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15C8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02C0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303FF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734AF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35FC0991-F1C5-49DA-A434-BF2788B5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E734AF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290d5b49-c690-4c6f-bbb9-1e50dab33ee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1DE2C1-6B53-47DC-A5C6-E87E8ABD5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125ABF-07CB-4F2E-85BC-0284E9BC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301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דפנה ברנאי</cp:lastModifiedBy>
  <cp:revision>8</cp:revision>
  <cp:lastPrinted>2022-11-15T14:44:00Z</cp:lastPrinted>
  <dcterms:created xsi:type="dcterms:W3CDTF">2015-04-20T09:58:00Z</dcterms:created>
  <dcterms:modified xsi:type="dcterms:W3CDTF">2022-12-01T12:59:00Z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2195873</vt:r8>
  </property>
</Properties>
</file>